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KLAIPĖDOS LOPŠELIO-DARŽELIO „SVIRPLIUKAS“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DIREKTORĖS AUDRONĖS ŠILIAUSKIENĖS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2020 METŲ VEIKLOS ATASKAITA</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t xml:space="preserve">2021-01-19  Nr. </w:t>
      </w:r>
    </w:p>
    <w:p w:rsidR="005A2C84" w:rsidRDefault="001F1E6C">
      <w:pPr>
        <w:tabs>
          <w:tab w:val="left" w:pos="3828"/>
          <w:tab w:val="left" w:pos="4988"/>
          <w:tab w:val="left" w:pos="6235"/>
          <w:tab w:val="left" w:pos="7482"/>
          <w:tab w:val="left" w:pos="8729"/>
          <w:tab w:val="left" w:pos="9976"/>
          <w:tab w:val="left" w:pos="11223"/>
          <w:tab w:val="left" w:pos="12470"/>
          <w:tab w:val="left" w:pos="13717"/>
          <w:tab w:val="left" w:pos="14964"/>
          <w:tab w:val="left" w:pos="16211"/>
          <w:tab w:val="left" w:pos="17458"/>
          <w:tab w:val="left" w:pos="18705"/>
          <w:tab w:val="left" w:pos="19952"/>
        </w:tabs>
        <w:jc w:val="center"/>
      </w:pPr>
      <w:r>
        <w:t>Klaipėda</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I SKYRIUS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STRATEGINIO PLANO IR METINIO VEIKLOS PLANO ĮGYVENDINIMAS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75"/>
      </w:tblGrid>
      <w:tr w:rsidR="005A2C84">
        <w:tc>
          <w:tcPr>
            <w:tcW w:w="9775"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Klaipėdos lopšelio-darželio „</w:t>
            </w:r>
            <w:proofErr w:type="spellStart"/>
            <w:r>
              <w:t>Svirpliukas</w:t>
            </w:r>
            <w:proofErr w:type="spellEnd"/>
            <w:r>
              <w:t>“ (toliau – Įstaiga) 2020-2022 metų strateginis veiklos planas, Įstaigos 2020 metų veiklos planas įgyvendintas, vykdant nustatytus uždavinius bei atsižvelgiant į Klaipėdos miesto savivaldybės administracijos Švietimo</w:t>
            </w:r>
            <w:r>
              <w:t xml:space="preserve"> skyriaus vedėjo 2019 m.  rugsėjo 25 d. įsakymu Nr. ŠV1-312 „Dėl 2020 metų veiklos prioritetų švietimo srityje patvirtinimo“. </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2020 metais Įstaiga įgyvendino šiuos prioritetus: mokymosi pagalbos įvairių gebėjimų vaikams stiprinimas, taikant kiekvieno vaiko</w:t>
            </w:r>
            <w:r>
              <w:t xml:space="preserve"> pažangos matavimo sistemą; Įstaigos bendruomenės lyderystės gebėjimų didinimas, įgyvendinant vadybinės veiklos pokyčius; pozityvios emocinės aplinkos, lemiančios gerą ugdytinių ir mokytojų savijautą kūrimas. Įgyvendinant Įstaigos veiklos prioritetus, tiks</w:t>
            </w:r>
            <w:r>
              <w:t>lus, uždavinius buvo siekiama užtikrinti kokybišką Įstaigos veiklą, modernizuojant administravimo procesus, vykdyti kryptingą veiklą, orientuotą į ugdytinių saugumo užtikrinimą, racionalų finansinių išteklių valdymą, organizuoti ugdymą, grindžiant individu</w:t>
            </w:r>
            <w:r>
              <w:t>alizavimu bei realiomis vaiko galimybėmis (pagal projektą „Gera pradžia“). Numatyti ir įgyvendinti šie tikslai: laiduoti veiksmingą Įstaigos veiklos darbą, užtikrinant ugdymo kokybės plėtrą, kuri skatintų vaiko vystymosi pažangą. Antras tikslas – stiprinti</w:t>
            </w:r>
            <w:r>
              <w:t xml:space="preserve"> sveikos ir saugios gyvensenos įgūdžius, pasitelkiant ugdytinių saviraišką. Trečias tikslas – kurti saugią ugdymo(si) aplinką, skatinančią vaiko vystymosi pažangą. Teikta profesionali dalykinė bei specialioji pagalba ugdytiniams, atsižvelgta į individualiu</w:t>
            </w:r>
            <w:r>
              <w:t>s kiekvieno vaiko poreikius, plėtotos socialinės kultūrinės kompetencijos, aktyvintas tautinio tapatumo, pilietiškumo suvokimas, kurta vaiko ugdymuisi tinkama psichologinė ir fizinė aplinka.  Inicijuotas Vaiko gerovės komisijos veiklos tobulinimas, taikyti</w:t>
            </w:r>
            <w:r>
              <w:t xml:space="preserve"> nauji pasiekimų ir pažangos vertinimo būdai ir formos, kurios padeda vaikui sėkmingai ugdytis ir tobulėti. Skatinta užtikrinti pozityvų, pasitikėjimu grįstą, tikslingą vaikų, pedagogų, tėvų bendradarbiavimą. Siekta gerinti ugdymosi sąlygas ir galimybes ra</w:t>
            </w:r>
            <w:r>
              <w:t>cionaliai, taupiai naudoti Įstaigai skirtus išteklius, ugdyti kūrybišką, sugebančią savarankiškai veikti, priimti pokyčius visuomenėje asmenybę, aprėpiant pagrindinius vaiko poreikius: ugdymo, sveikatos, mitybos.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Sudarytos sąlygos ugdyti vaikus pagal ikimo</w:t>
            </w:r>
            <w:r>
              <w:t xml:space="preserve">kyklinio ir priešmokyklinio ugdymo programas, taikyta į vaiką ir į šeimą orientuoto ugdymo metodika. Šalyje paskelbus epideminę situaciją, įteisinus nuotolinį ugdymą ir ribojant tiesioginį darbą su ugdytiniais, visiems dirbantiesiems teko gilinti pedagogų </w:t>
            </w:r>
            <w:r>
              <w:t>profesinio skaitmeninio raštingumo kompetencijas, aktyviai dalyvauti nuotolinio mokymo(si) kursuose, seminaruose. Buvo sudaryta galimybė įsisavinti nuotolinio ugdymo programas. Direktorius, pavaduotojas ir visi pedagogai dalyvavo aktualiuose mokymuose „Ugd</w:t>
            </w:r>
            <w:r>
              <w:t xml:space="preserve">ymas nuotoliniu būdu: ką turi žinoti kiekviena auklėtoja“, „Stresas ir emocijos. Atpažinimas ir valdymas“, „Švietimo įstaigos vidaus procesų tobulinimas, panaudojant Microsoft Office365 ir Microsoft </w:t>
            </w:r>
            <w:proofErr w:type="spellStart"/>
            <w:r>
              <w:t>Teams</w:t>
            </w:r>
            <w:proofErr w:type="spellEnd"/>
            <w:r>
              <w:t xml:space="preserve"> aplinkas“. Kelta vadybinė kvalifikacija tęstiniuose</w:t>
            </w:r>
            <w:r>
              <w:t xml:space="preserve"> mokymuose „Vadovo iššūkiai ir galimybės įgyvendinant pokyčius ikimokyklinio ugdymo Įstaigoje“, „BDAR atitiktis: dokumentacija švietimo ir ugdymo įstaigoms“, „Pasirengimas kompetencijų vertinimui ir vadovavimo meistriškumo lavinimui“. Nuolatinis darbuotojų</w:t>
            </w:r>
            <w:r>
              <w:t xml:space="preserve"> profesinis tobulėjimas turėjo teigiamos įtakos ugdymo turinio kaitai ir darbo kokybei. </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Įstaigos internetinėje svetainėje, elektroniniame dienyne „Mūsų darželis“, grupių socialiniuose tinkluose pristatyta visa aktuali informacija ugdymo, sveikatos klausim</w:t>
            </w:r>
            <w:r>
              <w:t xml:space="preserve">ais. Nuolat atnaujinama informacija dėl numatomų Įstaigos renovacijos darbų. Didesnė dalis ugdomosios veiklos buvo vykdoma nuotoliniu būdu, tačiau tai nesutrukdė vertinti kiekvieno vaiko pasiekimus, </w:t>
            </w:r>
            <w:r>
              <w:lastRenderedPageBreak/>
              <w:t>vykdyti pažangos vertinimą. Vaikas buvo stebimas, fiksuoj</w:t>
            </w:r>
            <w:r>
              <w:t>ama jo vystymosi pažanga. Kadangi ikimokyklinio ugdymo programa orientuota į vaiko individualumą (pagal projektą „Gera pradžia“), kiekvienas pedagogas žinojo savo grupės vaikų individualius pomėgius, gebėjimus, vystymosi raidą, todėl ugdant vaikus, veiklos</w:t>
            </w:r>
            <w:r>
              <w:t xml:space="preserve"> būdus rinkosi ir pritaikė individualiai atsižvelgiant į išsikeltus ugdymo tikslus, uždavinius.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 xml:space="preserve">Užtikrinant ugdymo kokybę, dalyvauta ir stebėta 21 ugdymo veikla, analizuota, vertinta, teiktos rekomendacijos bei siūlymai mokytojų veiklai gerinti. Sėkmingai </w:t>
            </w:r>
            <w:r>
              <w:t xml:space="preserve"> įgyvendinta tęstinė 2019-2021 metų Sveikatos stiprinimo programa „Sveikatos sodelis“, kurios dėka buvo siekiama stiprinti vaikų sveikatą, gilinti žinias ir formuoti sveikos gyvensenos įgūdžius, kurti sveiką ir saugią aplinką bei efektyvinti teigiamą emoci</w:t>
            </w:r>
            <w:r>
              <w:t>nę aplinką, lemiančią visos bendruomenės gerą savijautą. Įstaigoje dirba 17 pedagoginių darbuotojų. 6 atestuoti mokytojo metodininko, 9 – vyresniojo mokytojo kvalifikacinei kategorijai. Pagalbą 30 mokinių teikė kvalifikuotas, didelę profesinę patirtį turin</w:t>
            </w:r>
            <w:r>
              <w:t>tis logopedas. Sudarytos palankios sąlygos visiems darbuotojams gilinti savo profesines kompetencijas, tobulinti kvalifikaciją, atsižvelgiant į Įstaigos tikslus, prioritetus ir asmeninius poreikius. 2020 metais darbuotojai 127 dienas dalyvavo  kursuose (10</w:t>
            </w:r>
            <w:r>
              <w:t>16 val.). Deleguojant atsakomybę, pedagogai skatinti atlikti savo veiklos įsivertinimą, numatant profesinių kompetencijų tobulinimą, Įstaigos prioritetų, tikslų, uždavinių įgyvendinimą. Metodinė taryba 2020 metais rengė diskusijas pedagoginiais ir metodini</w:t>
            </w:r>
            <w:r>
              <w:t>ais klausimais, padėjo mokytojams pasirengti veikloms. 2020 metais ugdymo paslaugos buvo teikiamos 150 ugdytinių, iš jų – 29 priešmokyklinio amžiaus vaikams. Vaikai buvo ugdomi individualiai ir grupėmis bei  su visa grupe. Ugdymas vyko nuo ankstyvojo amžia</w:t>
            </w:r>
            <w:r>
              <w:t xml:space="preserve">us iki išėjimo į mokyklą, todėl nuolat dėmesys buvo skiriamas </w:t>
            </w:r>
            <w:r>
              <w:rPr>
                <w:strike/>
              </w:rPr>
              <w:t>į</w:t>
            </w:r>
            <w:r>
              <w:t xml:space="preserve"> kultūriniams ir higieniniams įgūdžiams, savarankiškumui, kūrybiškumui, saviraiškai, sveikatos stiprinimui ir palaikymui, loginio mąstymo pradmenų ugdymui. Mokesčio lengvata už maitinimo paslau</w:t>
            </w:r>
            <w:r>
              <w:t>gą taikyta 18 šeimų, nei vienai šeimai neskirta socialinė parama.</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 xml:space="preserve">Visus metus vykdytas tėvų švietimas: teiktos specialistų konsultacijos vaikų ugdymo bei pagalbos jiems klausimais, organizuotos teminės savaitės, kurių metu tėvai buvo aktyvūs pagalbininkai </w:t>
            </w:r>
            <w:r>
              <w:t xml:space="preserve">bei dalyviai. Šalyje paskelbus ekstremalią situaciją, ugdymas ir švietimo pagalba buvo organizuojama nuotoliniu būdu, naudojant elektroninį dienyną „Mūsų darželis“, kitas nuotolinio ugdymo platformas. Pedagogams buvo sudarytos sąlygos dalyvauti mokymuose, </w:t>
            </w:r>
            <w:r>
              <w:t>tobulinant nuotolinio ugdymo kompetencijas. Nuotoliniame ugdyme dalyvavo 80 procentų ugdytinių, 20</w:t>
            </w:r>
            <w:r>
              <w:rPr>
                <w:color w:val="FF0000"/>
              </w:rPr>
              <w:t xml:space="preserve"> </w:t>
            </w:r>
            <w:r>
              <w:t>procentų nedalyvavo, tačiau pedagogai ir tėvai palaikė nuolatinį ryšį. Elektroninio dienyno įvedimas palengvino mokytojams vaikų pasiekimų, vertinimo rodikli</w:t>
            </w:r>
            <w:r>
              <w:t>ų, suvestinių, ataskaitų pateikimą, ugdymą ir darbą vykdant nuotoliniu būdu. Įtraukiant visus bendruomenės narius aktyviai dalyvauti planuojant, analizuojant, vertinant veiklą, užtikrintas Įstaigos bendruomenės tarpusavio santykių gerinimas, gero mikroklim</w:t>
            </w:r>
            <w:r>
              <w:t>ato kūrimas. Pedagogai kartu su vaikais ir tėvais, dažniausiai nuotoliniu būdu, organizavo tradicinius ir netradicinius renginius. Buvo siekiama glaudesnio bendradarbiavimo karantino sąlygomis, ugdomojo proceso tobulinimo, meninio ugdymo inovacijų perimamu</w:t>
            </w:r>
            <w:r>
              <w:t>mo ir dalijimosi gerąja darbo patirtimi įvairiose srityse. Nepamirštas ir bendradarbiavimas su Įstaigos socialiniais partneriais. Buvo sudarytos sąlygos įstaigų pedagogams nuotoliniu būdu keistis koncertinėmis programėlėmis, darbelių parodomis, sudarytos s</w:t>
            </w:r>
            <w:r>
              <w:t>ąlygos plėtoti socialinę patirtį, išreikšti save ir tobulėti įvairiose ugdymo srityse. Ugdytinių saviraiškos poreikiai tenkinti grupėse esančiuose veiklos centruose. Sudarytos bendradarbiavimo sutartys su Valstybine Klaipėdos kolegija, Klaipėdos universite</w:t>
            </w:r>
            <w:r>
              <w:t>to</w:t>
            </w:r>
            <w:r>
              <w:rPr>
                <w:color w:val="FF0000"/>
              </w:rPr>
              <w:t xml:space="preserve"> </w:t>
            </w:r>
            <w:r>
              <w:t>pedagogikos fakultetu. Įgyvendintos Įstaigos vaikų kūrybos, saviraiškos, žalingų įpročių prevencijos, sveikatos stiprinimo ir profilaktikos veiklos programos. Atsižvelgiant į kiekvieno vaiko individualius poreikius, įgyvendinant projektą „Gera pradžia“</w:t>
            </w:r>
            <w:r>
              <w:rPr>
                <w:color w:val="FF0000"/>
              </w:rPr>
              <w:t>,</w:t>
            </w:r>
            <w:r>
              <w:rPr>
                <w:color w:val="FF0000"/>
              </w:rPr>
              <w:t xml:space="preserve"> </w:t>
            </w:r>
            <w:r>
              <w:t>pagrindinis dėmesys buvo skirtas netradicinių ugdymo metodų taikymui (Ryto ratas, autoriaus kėdė, ŽNI – temos nagrinėjimas ir kt.), išvykoms į tėvų darbovietes.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Karantino laikotarpiu administracijos ir kiti darbuotojai buvo sutelkti vykdyti Įstaigos veikl</w:t>
            </w:r>
            <w:r>
              <w:t>ą ir ugdymo procesą nuotoliniu būdu. Papildomas dėmesys skirtas darbuotojų psichinei sveikatai ir psichologinio mikroklimato stiprinimui. Per metus peržiūrėti ir atnaujinti Įstaigos veiklą reglamentuojantys dokumentai. Įstaigos išlaikymui buvo skirta 341,1</w:t>
            </w:r>
            <w:r>
              <w:t xml:space="preserve"> tūkst. </w:t>
            </w:r>
            <w:proofErr w:type="spellStart"/>
            <w:r>
              <w:t>Eur</w:t>
            </w:r>
            <w:proofErr w:type="spellEnd"/>
            <w:r>
              <w:t xml:space="preserve"> </w:t>
            </w:r>
            <w:r>
              <w:lastRenderedPageBreak/>
              <w:t xml:space="preserve">savivaldybės biudžeto lėšų, iš jų – 275,2 tūkst. </w:t>
            </w:r>
            <w:proofErr w:type="spellStart"/>
            <w:r>
              <w:t>Eur</w:t>
            </w:r>
            <w:proofErr w:type="spellEnd"/>
            <w:r>
              <w:t xml:space="preserve"> darbuotojų atlyginimams, 185,5 tūkst. </w:t>
            </w:r>
            <w:proofErr w:type="spellStart"/>
            <w:r>
              <w:t>Eur</w:t>
            </w:r>
            <w:proofErr w:type="spellEnd"/>
            <w:r>
              <w:t xml:space="preserve"> specialiosios tikslinės dotacijos mokymo reikmėms finansuoti (iš jų – 176,6 tūkst. </w:t>
            </w:r>
            <w:proofErr w:type="spellStart"/>
            <w:r>
              <w:t>Eur</w:t>
            </w:r>
            <w:proofErr w:type="spellEnd"/>
            <w:r>
              <w:t xml:space="preserve"> darbuotojų atlyginimams).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pPr>
            <w:r>
              <w:t>2020 metais pradėti įstaigos renovac</w:t>
            </w:r>
            <w:r>
              <w:t>ijos darbai: parengti ir teikti viešam svarstymui projektiniai pasiūlymai dėl Įstaigos rekonstrukcijos ir laikinų mokslo paskirties modulinių pastatų prie lopšelių-darželių „Obelėlė“, „</w:t>
            </w:r>
            <w:proofErr w:type="spellStart"/>
            <w:r>
              <w:t>Pingvinukas</w:t>
            </w:r>
            <w:proofErr w:type="spellEnd"/>
            <w:r>
              <w:t>“ statybos.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rPr>
                <w:color w:val="000000"/>
              </w:rPr>
            </w:pPr>
            <w:r>
              <w:rPr>
                <w:color w:val="000000"/>
              </w:rPr>
              <w:t>Planuodama artimiausių metų veiklą, Įstaigos bendruomenė susitarė dėl prioritetų:</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rPr>
                <w:color w:val="000000"/>
              </w:rPr>
            </w:pPr>
            <w:r>
              <w:rPr>
                <w:color w:val="000000"/>
              </w:rPr>
              <w:t>1. Kokybiškos įstaigos veiklos užtikrinimas, pastatų renovavimo metu.</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ind w:firstLine="887"/>
              <w:jc w:val="both"/>
              <w:rPr>
                <w:color w:val="FF0000"/>
              </w:rPr>
            </w:pPr>
            <w:r>
              <w:rPr>
                <w:color w:val="000000"/>
              </w:rPr>
              <w:t xml:space="preserve">2. Mokinių veiksmingos švietimo pagalbos įvairių gebėjimų vaikams teikimo gerinimas,  kuriant modernią, </w:t>
            </w:r>
            <w:r>
              <w:rPr>
                <w:color w:val="000000"/>
              </w:rPr>
              <w:t>saugią ugdymo aplinką, skatinančią vaiko vystymosi pažangą.</w:t>
            </w:r>
          </w:p>
        </w:tc>
      </w:tr>
    </w:tbl>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II SKYRIUS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b/>
        </w:rPr>
      </w:pPr>
      <w:r>
        <w:rPr>
          <w:b/>
        </w:rPr>
        <w:t>METŲ VEIKLOS UŽDUOTYS, REZULTATAI IR RODIKLIAI</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p>
    <w:p w:rsidR="005A2C84" w:rsidRDefault="001F1E6C">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r>
        <w:rPr>
          <w:b/>
        </w:rPr>
        <w:t>1.</w:t>
      </w:r>
      <w:r>
        <w:rPr>
          <w:b/>
        </w:rPr>
        <w:tab/>
        <w:t>Pagrindiniai praėjusių metų veiklos rezultatai</w:t>
      </w:r>
    </w:p>
    <w:p w:rsidR="005A2C84" w:rsidRDefault="005A2C84">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2268"/>
        <w:gridCol w:w="1985"/>
        <w:gridCol w:w="3402"/>
      </w:tblGrid>
      <w:tr w:rsidR="005A2C84">
        <w:tc>
          <w:tcPr>
            <w:tcW w:w="1730"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rPr>
                <w:sz w:val="22"/>
              </w:rPr>
              <w:t>Metų užduotys</w:t>
            </w:r>
            <w:r>
              <w:t xml:space="preserve"> </w:t>
            </w:r>
            <w:r>
              <w:rPr>
                <w:sz w:val="20"/>
              </w:rPr>
              <w:t>(toliau – užduotys)</w:t>
            </w:r>
          </w:p>
        </w:tc>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sz w:val="22"/>
              </w:rPr>
            </w:pPr>
            <w:r>
              <w:rPr>
                <w:sz w:val="22"/>
              </w:rPr>
              <w:t>Siektini rezultatai</w:t>
            </w: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rPr>
                <w:sz w:val="22"/>
              </w:rPr>
              <w:t>Rezultatų vertinimo rodikliai</w:t>
            </w:r>
            <w:r>
              <w:t xml:space="preserve"> </w:t>
            </w:r>
            <w:r>
              <w:rPr>
                <w:sz w:val="20"/>
              </w:rPr>
              <w:t>(kuriais vadovaujantis vertinama, ar nustatytos užduotys įvykdytos)</w:t>
            </w:r>
          </w:p>
        </w:tc>
        <w:tc>
          <w:tcPr>
            <w:tcW w:w="3402"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sz w:val="22"/>
              </w:rPr>
            </w:pPr>
            <w:r>
              <w:rPr>
                <w:sz w:val="22"/>
              </w:rPr>
              <w:t>Pasiekti rezultatai ir jų rodikliai</w:t>
            </w:r>
          </w:p>
        </w:tc>
      </w:tr>
      <w:tr w:rsidR="005A2C84">
        <w:tc>
          <w:tcPr>
            <w:tcW w:w="1730"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1.1.Užtikrinti kokybišką Įstaigos veiklą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 Organizuoti Įstaigos veiklą taip, kad nebūtų nustatyta pažeidimų dėl Įstaigos ir vadovo veiklos.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2. Gebėti tinkamai naudoti skirtus asignavimus, vadovaujantis teisės aktais, reglamentuojančiais  Įstaigos finansinę  veiklą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 Įstaigoje nenustatyta pažeidimų.</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2.1. Įstaigoje užtikrintas tinkamas (laiku ir kt.) finansinių dokumentų pateikimas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3402"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lastRenderedPageBreak/>
              <w:t>1. Kontroliuojančių institucijų savivaldybės kontrolės ir audito tarnybos išvadų, pranešimų negauta. Vykdyti planiniai kontroliuojančių institucijų patikrinimai: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1.1. Priešgaisrinės apsaugos ir gelbėjimo departamento prie Vidaus reikalų ministerijos Klaipė</w:t>
            </w:r>
            <w:r>
              <w:t>dos priešgaisrinės gelbėjimo valdybos 2020-03-17 patikrinimas – pažeidimų nenustatyta.</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1.2. Vaikų žaidimų aikštelių kontrolė 2020-10-20 (UAB INSPECTUM) – naudojama žaidimų aikštelių įranga atitinka Lietuvos higienos normos reikalavimus.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2.1. Įstaigoje užtikrintas tinkamas (laiku ir kt.) finansinių dokumentų pateikimas: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2.1.1.Vadovaujantis LR teisės aktais laiku</w:t>
            </w:r>
            <w:r>
              <w:rPr>
                <w:color w:val="FF0000"/>
              </w:rPr>
              <w:t xml:space="preserve"> </w:t>
            </w:r>
            <w:r>
              <w:t>atliekama išankstinė, einamoji ir paskesnioji finansų kontrolė. Vidaus įsivertinimo ir asignavimų panaudojimų kontrolė funkcionuo</w:t>
            </w:r>
            <w:r>
              <w:t xml:space="preserve">ja kaip vientisa sistema. </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2.1.2. Įstaigos finansiniai dokumentai teikiami </w:t>
            </w:r>
            <w:r>
              <w:lastRenderedPageBreak/>
              <w:t>vadovaujantis Klaipėdos miesto savivaldybės administracijos direktoriaus 2019-01-04 įsakymu Nr. AD1-26 ,,Dėl biudžetinių įstaigų buhalterinės apskaitos dokumentų ir kitos informacij</w:t>
            </w:r>
            <w:r>
              <w:t>os pateikimo Biudžetinių įstaigų centralizuotos apskaitos skyriui tvarkos aprašo patvirtinimo“.</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 2020 m. Įstaigai skirti asignavimai buvo naudojami pagal teisės aktų reikalavimus: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2.2.1 Ūkinės operacijos atliekamos neviršijant metinių asignavimų.</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2.2.2</w:t>
            </w:r>
            <w:r>
              <w:t>. Lėšos naudojamos pagal straipsnius atsakingai ir tikslingai.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2.2.3. Per metus keitimai tarp straipsnių nevykdyti.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rPr>
                <w:color w:val="FF0000"/>
              </w:rPr>
            </w:pPr>
            <w:r>
              <w:t>2.2.4. Laiku surenkami tėvų mokesčiai už maitinimo paslaugą, todėl Įstaiga neturi ilgalaikių tėvų įsiskolinimų.</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2.2.5. 2020 m. gauta 1015,10</w:t>
            </w:r>
            <w:r>
              <w:t xml:space="preserve">  </w:t>
            </w:r>
            <w:proofErr w:type="spellStart"/>
            <w:r>
              <w:t>Eur</w:t>
            </w:r>
            <w:proofErr w:type="spellEnd"/>
            <w:r>
              <w:t xml:space="preserve"> paramos lėšų (1,2 %  GPM).</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2.2.6. Įstaigos bendruomenė išsamiai ir sistemingai informuojama apie gaunamas biudžetines ir paramos lėšas, apie finansinę Įstaigos būklę: Įstaigos tarybos protokolas (2020-03-09 Nr. V2-2); Mokytojų tarybos protokolas (202</w:t>
            </w:r>
            <w:r>
              <w:t>0-03-10 Nr. V3-2);</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Įstaigos paramos skirstymo protokolai (2020-03-23 Nr. 1, 2020-10-06 Nr.2, 2020-12-29 Nr.3).</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8) Metų ir ketvirčių programų sąmatų vykdymo ataskaitos bei finansiniai ataskaitų rinkiniai viešinami Įstaigos internetinėje svetainėje </w:t>
            </w:r>
            <w:proofErr w:type="spellStart"/>
            <w:r>
              <w:rPr>
                <w:color w:val="2E74B5"/>
              </w:rPr>
              <w:t>www.svirp</w:t>
            </w:r>
            <w:r>
              <w:rPr>
                <w:color w:val="2E74B5"/>
              </w:rPr>
              <w:t>liukas.lt</w:t>
            </w:r>
            <w:proofErr w:type="spellEnd"/>
          </w:p>
        </w:tc>
      </w:tr>
      <w:tr w:rsidR="005A2C84">
        <w:tc>
          <w:tcPr>
            <w:tcW w:w="1730"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1.2. Pagerinti Įstaigos mikroklimatą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Visų darbuotojų savijautos vertinimas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 Atliktos 2 apklausos dėl darbuotojų savijautos Įstaigoje (kovo ir lapkričio mėn.).</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2. Teigiamas </w:t>
            </w:r>
            <w:r>
              <w:lastRenderedPageBreak/>
              <w:t>mikroklimato vertinimo pokytis (atlikus pirmąją apklausą ir lyginant ją su antra).</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3. 30 % pedagoginių darbuotojų dalyvauja priimant sprendimus Įstaigos veik</w:t>
            </w:r>
            <w:r>
              <w:t>los klausimais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3402"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lastRenderedPageBreak/>
              <w:t>1. Atliktos 2 apklausos dėl darbuotojų savijautos įstaigoje:</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rPr>
                <w:color w:val="FF0000"/>
              </w:rPr>
            </w:pPr>
            <w:r>
              <w:t xml:space="preserve">1.1. 2020 m. sausio mėn. parengta anketa ,,Darbuotojų savijauta įstaigoje“. 2020 m. kovo mėnesį atliktas tyrimas. Tyrime dalyvavo 23 darbuotojai. </w:t>
            </w:r>
            <w:r>
              <w:lastRenderedPageBreak/>
              <w:t>Gauta išvada, kad bendras psichologinis klimatas įstaigoje vertinamas labai gerai (92 %) (2020 m. kovo mėn. ty</w:t>
            </w:r>
            <w:r>
              <w:t>rimo suvestinė);</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1.2. 2020 m. balandžio mėn.  Pedagoginė psichologinė tarnyba (toliau – PPT) atliko psichologinio klimato tyrimą įstaigoje. Dalyvavo 21 darbuotojas. Tyrėjo išvada: </w:t>
            </w:r>
            <w:r>
              <w:rPr>
                <w:strike/>
                <w:color w:val="FF0000"/>
              </w:rPr>
              <w:t xml:space="preserve"> </w:t>
            </w:r>
            <w:r>
              <w:t>psichologinis mikroklimatas lopšelyje-darželyje vertinamas labai gerai;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1.3</w:t>
            </w:r>
            <w:r>
              <w:t>. 2020 m. lapkričio mėn. PPT atliko pakartotinį psichologinio klimato tyrimą įstaigoje. Dalyvavo 18 darbuotojų. Tyrėjo  išvada: psichologinis mikroklimatas lopšelyje-darželyje vertinamas labai gerai;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1.4. Vertinti visi rodikliai yra aukštesni nei 4,5 balo </w:t>
            </w:r>
            <w:r>
              <w:t xml:space="preserve">iš 5 galimų. Aukščiausi įvertinimai gauti: psichologiniame klimato vertinime (4,61-4,79 balo), subjektyvaus kolektyvo ir darbo sąlygų vertinime (4,78 balo), subjektyvaus požiūrio į vadovą vertinime (4,74-5 balo). Beveik visi darbuotojai (94,15 %) sutinka, </w:t>
            </w:r>
            <w:r>
              <w:t xml:space="preserve">kad įstaigos vadovas visada atsižvelgia į argumentuotą darbuotojų nuomonę sprendžiant visiems svarbius klausimus; </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1.5. Pozityviems pokyčiams užtikrinti, siekiant pagerinti psichologinį klimatą, Įstaigoje suorganizuoti kvalifikacijos tobulinimo kursai: 21 </w:t>
            </w:r>
            <w:r>
              <w:t>darbuotojas išklausė 18 val. kursus ,,Pozityvaus mikroklimato kūrimas bendruomenėje“ (2020-04-27 Klaipėdos pedagogų, švietimo ir kultūros centro pažymėjimai),    19 darbuotojų išklausė 18 val. kursus ,,Stresas ir emocijos Atpažinimas ir valdymas“. (2020-12</w:t>
            </w:r>
            <w:r>
              <w:t>-18 Lietuvos ir Vokietijos UAB „</w:t>
            </w:r>
            <w:proofErr w:type="spellStart"/>
            <w:r>
              <w:t>Sigmika</w:t>
            </w:r>
            <w:proofErr w:type="spellEnd"/>
            <w:r>
              <w:t xml:space="preserve">“ </w:t>
            </w:r>
            <w:r>
              <w:lastRenderedPageBreak/>
              <w:t>pažymėjimai).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2. Lyginant pirmąją ir antrąją PPT apklausą, nustatytas teigiamas mikroklimato vertinimo pokytis 4,29 %. Gauta tyrėjo išvada, kad bendras subjektyvus psichologinis klimatas įstaigoje yra labai geras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w:t>
            </w:r>
            <w:r>
              <w:t xml:space="preserve"> Pedagoginių darbuotojų dalyvavimas priimant sprendimus įstaigos veiklos klausimais: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3.1. Išanalizavus 2020 m. direktoriaus įsakymais sudarytas darbo grupes, komisijas įstaigos veiklos klausimais, nustatyta, kad 30-100% pedagoginių darbuotojų dalyvauja pri</w:t>
            </w:r>
            <w:r>
              <w:t>imant sprendimus Įstaigos taryboje (30 % mokytojų), Mokytojų taryboje (100 % mokytojų), Darbo taryboje (30 % mokytojų), Paramos skirstymo komisijoje (50 % mokytojų);</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3.2. 2020 m. gruodžio mėn. 22 d. Klaipėdos PPT atliktas tyrimas parodė, jog 66,67 % darbuo</w:t>
            </w:r>
            <w:r>
              <w:t xml:space="preserve">tojų sutinka, kad įstaigos vadovas visada atsižvelgia į argumentuotą jų nuomonę sprendžiant visiems svarbius klausimus, tai reiškia, kad darbuotojai mato galimybę dalyvauti priimant svarbius sprendimus </w:t>
            </w:r>
          </w:p>
        </w:tc>
      </w:tr>
      <w:tr w:rsidR="005A2C84">
        <w:tc>
          <w:tcPr>
            <w:tcW w:w="1730"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1.3.Užtikrinti Įstaigos mokytojų nuolatinį profesinį tobulėjimą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1. Tikslingai panaudoti visas Įstaigai skirtas kvalifikacijos kėlimo lėšas mokytojų asmeninių ir dalykinių kompetencijų tobulinimui pagal numatytus prioritetus</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2. Skatinti  </w:t>
            </w:r>
            <w:r>
              <w:lastRenderedPageBreak/>
              <w:t>bes</w:t>
            </w:r>
            <w:r>
              <w:t>imokančių mokytojų motyvaciją, gebėjimų mokytis savarankiškumą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lastRenderedPageBreak/>
              <w:t>1. 95% mokytojų dalyvauja tiksliniuose kvalifikacijos tobulinimo kursuose bei pagerina asmeninį ir profesinės veiklos meistriškumą</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2. 30% Įstaigos </w:t>
            </w:r>
            <w:r>
              <w:lastRenderedPageBreak/>
              <w:t>mokytojų dalijasi gerąja patirtimi su kolegomis, studentais, pasinaudojant įvairiais sklaidos būdais</w:t>
            </w:r>
          </w:p>
        </w:tc>
        <w:tc>
          <w:tcPr>
            <w:tcW w:w="3402"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lastRenderedPageBreak/>
              <w:t>1.1. 100 % įstaigos mokytojų dalyvavo tiksliniuose kvalifikacijos tobulinimo kursuose. Iš viso pedagogai išklausė 1016 val. (127 d.), vidut</w:t>
            </w:r>
            <w:r>
              <w:t>iniškai vienam pedagogui teko 63,5 val. (8 d.) per metus;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rPr>
                <w:color w:val="FF0000"/>
              </w:rPr>
            </w:pPr>
            <w:r>
              <w:t xml:space="preserve">1.2. 2020 m. balandžio mėn. </w:t>
            </w:r>
            <w:r>
              <w:rPr>
                <w:strike/>
                <w:color w:val="FF0000"/>
              </w:rPr>
              <w:t xml:space="preserve"> </w:t>
            </w:r>
            <w:r>
              <w:t xml:space="preserve">PPT atliktas tyrimas parodė, kad darbovietė suteikia galimybę kelti kvalifikaciją naudinguose seminaruose ir mokymuose, vertinimas penkių balų skalėje sudaro 4,41 balo. </w:t>
            </w:r>
            <w:r>
              <w:t xml:space="preserve"> (2020-06-02 PPT psichologinio klimato Klaipėdos lopšelyje-darželyje ,,</w:t>
            </w:r>
            <w:proofErr w:type="spellStart"/>
            <w:r>
              <w:t>Svirpliukas</w:t>
            </w:r>
            <w:proofErr w:type="spellEnd"/>
            <w:r>
              <w:t>“ tyrimo ataskaita).</w:t>
            </w:r>
          </w:p>
          <w:p w:rsidR="005A2C84" w:rsidRDefault="001F1E6C">
            <w:pPr>
              <w:tabs>
                <w:tab w:val="left" w:pos="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ind w:left="4"/>
              <w:jc w:val="both"/>
            </w:pPr>
            <w:r>
              <w:lastRenderedPageBreak/>
              <w:t xml:space="preserve">1.2. 68 % Įstaigos mokytojų dalijosi gerąja patirtimi 2020 m.: </w:t>
            </w:r>
          </w:p>
          <w:p w:rsidR="005A2C84" w:rsidRDefault="001F1E6C">
            <w:pPr>
              <w:tabs>
                <w:tab w:val="left" w:pos="6"/>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ind w:left="6"/>
              <w:jc w:val="both"/>
            </w:pPr>
            <w:r>
              <w:t>1.2.1. skaityti 3 pranešimai Klaipėdos miesto ikimokyklinio ugdymo mokytojų metodiniame būrelyje;</w:t>
            </w:r>
          </w:p>
          <w:p w:rsidR="005A2C84" w:rsidRDefault="001F1E6C">
            <w:pPr>
              <w:pStyle w:val="Default"/>
              <w:tabs>
                <w:tab w:val="left" w:pos="6"/>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ind w:left="6"/>
              <w:jc w:val="both"/>
            </w:pPr>
            <w:r>
              <w:t>1.2.</w:t>
            </w:r>
            <w:r>
              <w:rPr>
                <w:color w:val="auto"/>
              </w:rPr>
              <w:t xml:space="preserve">2 </w:t>
            </w:r>
            <w:r>
              <w:t>dalintasi gerąja ugdomųjų veiklų, projektinės veiklos, patirtimi. Pristatytos 3 veiklos</w:t>
            </w:r>
          </w:p>
          <w:p w:rsidR="005A2C84" w:rsidRDefault="001F1E6C">
            <w:pPr>
              <w:pStyle w:val="Default"/>
              <w:tabs>
                <w:tab w:val="left" w:pos="6"/>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ind w:left="6"/>
              <w:jc w:val="both"/>
              <w:rPr>
                <w:b/>
                <w:color w:val="auto"/>
              </w:rPr>
            </w:pPr>
            <w:r>
              <w:t>1.2.3. dalintasi gerąja darbo patirtimi su  Žemaitijos regiono „Geros pradžios</w:t>
            </w:r>
            <w:r>
              <w:rPr>
                <w:color w:val="auto"/>
              </w:rPr>
              <w:t>“</w:t>
            </w:r>
            <w:r>
              <w:t xml:space="preserve"> tinklo įstaigomis; </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1.2.4. mokytojai dalijosi patirtimi pristatydami Įstaigą studentams, visiems besidominantiems į vaiką ir į šeimą orientuoto ugdymo metodika (pagal projektą </w:t>
            </w:r>
            <w:r>
              <w:t>„Gera pradžia“). Įvyko 6 pristatymai;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1.2.5. 2020 metais socialiniuose tinkluose sukurta „</w:t>
            </w:r>
            <w:proofErr w:type="spellStart"/>
            <w:r>
              <w:t>Svirpliuko</w:t>
            </w:r>
            <w:proofErr w:type="spellEnd"/>
            <w:r>
              <w:t>“ mokytojų grupė. Šioje grupėje 90 % Įstaigos pedagogų talpina naujausią informaciją ugdymo, bendradarbiavimo klausimais, diskutuoja aktualiais psichologini</w:t>
            </w:r>
            <w:r>
              <w:t>ais, sveikatos klausimais</w:t>
            </w:r>
          </w:p>
        </w:tc>
      </w:tr>
    </w:tbl>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p>
    <w:p w:rsidR="005A2C84" w:rsidRDefault="001F1E6C">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r>
        <w:rPr>
          <w:b/>
        </w:rPr>
        <w:t>2.</w:t>
      </w:r>
      <w:r>
        <w:rPr>
          <w:b/>
        </w:rPr>
        <w:tab/>
        <w:t xml:space="preserve">Užduotys, neįvykdytos ar įvykdytos iš dalies dėl numatytų </w:t>
      </w:r>
      <w:proofErr w:type="spellStart"/>
      <w:r>
        <w:rPr>
          <w:b/>
        </w:rPr>
        <w:t>rizikų</w:t>
      </w:r>
      <w:proofErr w:type="spellEnd"/>
      <w:r>
        <w:rPr>
          <w:b/>
        </w:rPr>
        <w:t xml:space="preserve"> (jei tokių buvo)</w:t>
      </w:r>
    </w:p>
    <w:p w:rsidR="005A2C84" w:rsidRDefault="005A2C84">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4962"/>
      </w:tblGrid>
      <w:tr w:rsidR="005A2C84">
        <w:tc>
          <w:tcPr>
            <w:tcW w:w="4423"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t>Užduotys</w:t>
            </w:r>
          </w:p>
        </w:tc>
        <w:tc>
          <w:tcPr>
            <w:tcW w:w="4962"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t xml:space="preserve">Priežastys, rizikos </w:t>
            </w:r>
          </w:p>
        </w:tc>
      </w:tr>
      <w:tr w:rsidR="005A2C84">
        <w:tc>
          <w:tcPr>
            <w:tcW w:w="4423"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                                  -</w:t>
            </w:r>
          </w:p>
        </w:tc>
        <w:tc>
          <w:tcPr>
            <w:tcW w:w="4962"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t>-</w:t>
            </w:r>
          </w:p>
        </w:tc>
      </w:tr>
    </w:tbl>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r>
        <w:rPr>
          <w:b/>
        </w:rPr>
        <w:t>3.</w:t>
      </w:r>
      <w:r>
        <w:rPr>
          <w:b/>
        </w:rPr>
        <w:tab/>
        <w:t>Veiklos, kurios nebuvo planuotos ir nustatytos, bet įvykdytos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4"/>
        <w:gridCol w:w="4111"/>
      </w:tblGrid>
      <w:tr w:rsidR="005A2C84">
        <w:tc>
          <w:tcPr>
            <w:tcW w:w="5274"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Užduotys / veiklos</w:t>
            </w:r>
          </w:p>
        </w:tc>
        <w:tc>
          <w:tcPr>
            <w:tcW w:w="4111"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rPr>
                <w:sz w:val="22"/>
              </w:rPr>
            </w:pPr>
            <w:r>
              <w:rPr>
                <w:sz w:val="22"/>
              </w:rPr>
              <w:t>Poveikis švietimo įstaigos veiklai</w:t>
            </w:r>
          </w:p>
        </w:tc>
      </w:tr>
      <w:tr w:rsidR="005A2C84">
        <w:tc>
          <w:tcPr>
            <w:tcW w:w="5274"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3.1.Parengti Klaipėdos lopšelio-darželio „</w:t>
            </w:r>
            <w:proofErr w:type="spellStart"/>
            <w:r>
              <w:t>Svirpliukas</w:t>
            </w:r>
            <w:proofErr w:type="spellEnd"/>
            <w:r>
              <w:t>“ veiklą reglamentuojantys dokumentai:</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3.1.1.Klaipėdos lopšelio-darželio „</w:t>
            </w:r>
            <w:proofErr w:type="spellStart"/>
            <w:r>
              <w:t>Svirpliukas</w:t>
            </w:r>
            <w:proofErr w:type="spellEnd"/>
            <w:r>
              <w:t>“ priemonių planas ugdymo procesui organizuoti nuotoliniu būdu“ (2020-03-23 Įsakymas Nr. V-9);</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3.1.2. Klaipėdos lopšelio-darželio „</w:t>
            </w:r>
            <w:proofErr w:type="spellStart"/>
            <w:r>
              <w:t>Svirpliukas</w:t>
            </w:r>
            <w:proofErr w:type="spellEnd"/>
            <w:r>
              <w:t>“ mokymo proceso nuotoliniu būdu taisyklės, galiojančios karantino m</w:t>
            </w:r>
            <w:r>
              <w:t xml:space="preserve">etu (2020-03-26 įsakymas </w:t>
            </w:r>
            <w:proofErr w:type="spellStart"/>
            <w:r>
              <w:t>Nr.V-12</w:t>
            </w:r>
            <w:proofErr w:type="spellEnd"/>
            <w:r>
              <w:t>);</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3.1.3. </w:t>
            </w:r>
            <w:proofErr w:type="spellStart"/>
            <w:r>
              <w:t>Covid-19</w:t>
            </w:r>
            <w:proofErr w:type="spellEnd"/>
            <w:r>
              <w:t xml:space="preserve"> ligos (</w:t>
            </w:r>
            <w:proofErr w:type="spellStart"/>
            <w:r>
              <w:t>koronaviruso</w:t>
            </w:r>
            <w:proofErr w:type="spellEnd"/>
            <w:r>
              <w:t xml:space="preserve"> infekcijos) metu tvarkos, užtikrinant darbo organizavimą bei saugos reikalavimų vykdymą karantino metu</w:t>
            </w:r>
          </w:p>
        </w:tc>
        <w:tc>
          <w:tcPr>
            <w:tcW w:w="4111"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Naujai parengti Įstaigos veiklą reglamentuojantys dokumentai atitinka naujus teisė</w:t>
            </w:r>
            <w:r>
              <w:t>s aktus, jie būtini siekiant sureguliuoti darbuotojų santykius, užtikrinti darbuotojų ir tėvų  informavimą, Įstaigos veiklos kokybę ir sistemingą veiklą. Užtikrintos saugios sąlygos Įstaigos darbuotojams, vaikams ir tėvams karantino metu</w:t>
            </w:r>
          </w:p>
        </w:tc>
      </w:tr>
      <w:tr w:rsidR="005A2C84">
        <w:tc>
          <w:tcPr>
            <w:tcW w:w="5274"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rPr>
                <w:sz w:val="22"/>
              </w:rPr>
              <w:t>3</w:t>
            </w:r>
            <w:r>
              <w:t>.2. Dalyvauta:</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3.2.1. Konkursuose  savivaldybių švietimo įstaigų (lopšelių-darželių „Obelėlės“, „Papartėlio“, </w:t>
            </w:r>
            <w:r>
              <w:lastRenderedPageBreak/>
              <w:t>„Boružėlės“) vadovų pareigoms eiti atrankos komisijose (2020-02-17, 2020-12-08, 2020-12-30);</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3.2.2. Klaipėdos valstybinės kolegijos baigiamųjų darbų gynime ir ve</w:t>
            </w:r>
            <w:r>
              <w:t>rtinime (Klaipėdos valstybinės kolegijos 2020-05-16 direktoriaus įsakymas Nr. SKC1-319);</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3.2.3. Inicijuotas respublikinis ikimokyklinio, priešmokyklinio ir pradinio ugdymo vaikų kūrybiškumo skatinimo projektas „Dovana Lietuvai“, skirtas Lietuvos  nepriklau</w:t>
            </w:r>
            <w:r>
              <w:t>somybės atkūrimo 30-mečiui paminėti (2020-02-10 įsakymas Nr. V-5)</w:t>
            </w: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rPr>
                <w:sz w:val="22"/>
              </w:rPr>
            </w:pPr>
          </w:p>
        </w:tc>
        <w:tc>
          <w:tcPr>
            <w:tcW w:w="4111"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lastRenderedPageBreak/>
              <w:t xml:space="preserve">Dalyvavimas komisijose įgalina naujas patirtis, žinias. Skatina profesinį tobulėjimą,  gaunama informacija </w:t>
            </w:r>
            <w:r>
              <w:lastRenderedPageBreak/>
              <w:t>taikoma Įstaigos veikloje.</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Užtikrinama veiksminga bendradarbiavimo su socialiniais</w:t>
            </w:r>
            <w:r>
              <w:t xml:space="preserve"> partneriais galimybė, vertinamos pretendentų  kompetencijos, galinčios turėti įtakos Įstaigos tolimesnei veiklai, jos kokybei. Įstaigos pedagogai, pristatantys ugdymo sistemą, bendruomenės veiklą, nuolat tobulėja gilina savo žinias, skleidžia gerąją darbo</w:t>
            </w:r>
            <w:r>
              <w:t xml:space="preserve"> patirtį Įstaigoje ir už jos ribų. Sudaroma galimybė įdarbinti jaunus, perspektyvius studentus.</w:t>
            </w:r>
          </w:p>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Sudaryta galimybė efektyvinti Įstaigos bendruomenės, socialinių partnerių, šeimos bendradarbiavimą rengiant kūrybinių darbų parodas. Išplėsta galimybė dalintis </w:t>
            </w:r>
            <w:r>
              <w:t>patirtimi už miesto ribų, atskleisti vaikų meninius gabumus, kūrybiškumą, skatinti patriotiškus jausmus savo šaliai</w:t>
            </w:r>
          </w:p>
        </w:tc>
      </w:tr>
      <w:tr w:rsidR="005A2C84">
        <w:tc>
          <w:tcPr>
            <w:tcW w:w="5274"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rPr>
                <w:sz w:val="22"/>
              </w:rPr>
            </w:pPr>
            <w:r>
              <w:rPr>
                <w:sz w:val="22"/>
              </w:rPr>
              <w:lastRenderedPageBreak/>
              <w:t>3.3. Parengtas Įstaigos veiklos organizavimo planas pastatų renovacijos metu</w:t>
            </w:r>
          </w:p>
        </w:tc>
        <w:tc>
          <w:tcPr>
            <w:tcW w:w="4111" w:type="dxa"/>
            <w:shd w:val="clear" w:color="auto" w:fill="auto"/>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r>
              <w:t xml:space="preserve"> Parengti įsakymai: „Dėl įstaigos darbo ir veiklos organizavim</w:t>
            </w:r>
            <w:r>
              <w:t xml:space="preserve">o“, „Dėl darbo sąlygų pakeitimo įstaigos rekonstrukcijos metu“, „Dėl ugdymo proceso organizavimo rekonstrukcijos metu“. Parengtos ir derinamos sutartys dėl ugdymo proceso ir administracinės veiklos organizavimo kitose įstaigose </w:t>
            </w:r>
          </w:p>
        </w:tc>
      </w:tr>
    </w:tbl>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p>
    <w:p w:rsidR="005A2C84" w:rsidRDefault="001F1E6C">
      <w:pPr>
        <w:tabs>
          <w:tab w:val="left" w:pos="284"/>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s>
        <w:rPr>
          <w:b/>
        </w:rPr>
      </w:pPr>
      <w:r>
        <w:rPr>
          <w:b/>
        </w:rPr>
        <w:t xml:space="preserve">4. Pakoreguotos praėjusių metų veiklos užduotys (jei tokių buvo) ir rezultatai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27"/>
        <w:gridCol w:w="3005"/>
        <w:gridCol w:w="1985"/>
      </w:tblGrid>
      <w:tr w:rsidR="005A2C84">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sz w:val="22"/>
              </w:rPr>
            </w:pPr>
            <w:r>
              <w:rPr>
                <w:sz w:val="22"/>
              </w:rPr>
              <w:t>Užduotys</w:t>
            </w:r>
          </w:p>
        </w:tc>
        <w:tc>
          <w:tcPr>
            <w:tcW w:w="2127"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sz w:val="22"/>
              </w:rPr>
            </w:pPr>
            <w:r>
              <w:rPr>
                <w:sz w:val="22"/>
              </w:rPr>
              <w:t>Siektini rezultatai</w:t>
            </w:r>
          </w:p>
        </w:tc>
        <w:tc>
          <w:tcPr>
            <w:tcW w:w="300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pPr>
            <w:r>
              <w:rPr>
                <w:sz w:val="22"/>
              </w:rPr>
              <w:t>Rezultatų vertinimo rodikliai</w:t>
            </w:r>
            <w:r>
              <w:t xml:space="preserve"> </w:t>
            </w:r>
            <w:r>
              <w:rPr>
                <w:sz w:val="20"/>
              </w:rPr>
              <w:t>(kuriais vadovaujantis vertinama, ar nustatytos užduotys įvykdytos)</w:t>
            </w: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center"/>
              <w:rPr>
                <w:sz w:val="22"/>
              </w:rPr>
            </w:pPr>
            <w:r>
              <w:rPr>
                <w:sz w:val="22"/>
              </w:rPr>
              <w:t>Pasiekti rezultatai ir jų rodikliai</w:t>
            </w:r>
          </w:p>
        </w:tc>
      </w:tr>
      <w:tr w:rsidR="005A2C84">
        <w:tc>
          <w:tcPr>
            <w:tcW w:w="2268"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              -</w:t>
            </w:r>
          </w:p>
        </w:tc>
        <w:tc>
          <w:tcPr>
            <w:tcW w:w="2127"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           - </w:t>
            </w:r>
          </w:p>
        </w:tc>
        <w:tc>
          <w:tcPr>
            <w:tcW w:w="300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                     -</w:t>
            </w:r>
          </w:p>
        </w:tc>
        <w:tc>
          <w:tcPr>
            <w:tcW w:w="1985" w:type="dxa"/>
            <w:shd w:val="clear" w:color="auto" w:fill="auto"/>
            <w:vAlign w:val="center"/>
          </w:tcPr>
          <w:p w:rsidR="005A2C84" w:rsidRDefault="001F1E6C">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pPr>
            <w:r>
              <w:t xml:space="preserve">             -</w:t>
            </w:r>
          </w:p>
        </w:tc>
      </w:tr>
    </w:tbl>
    <w:p w:rsidR="005A2C84" w:rsidRDefault="005A2C84">
      <w:pPr>
        <w:tabs>
          <w:tab w:val="left" w:pos="3990"/>
          <w:tab w:val="center" w:pos="4823"/>
          <w:tab w:val="left" w:pos="4988"/>
          <w:tab w:val="left" w:pos="6235"/>
          <w:tab w:val="left" w:pos="7482"/>
          <w:tab w:val="left" w:pos="8729"/>
          <w:tab w:val="left" w:pos="9976"/>
          <w:tab w:val="left" w:pos="11223"/>
          <w:tab w:val="left" w:pos="12470"/>
          <w:tab w:val="left" w:pos="13717"/>
          <w:tab w:val="left" w:pos="14964"/>
          <w:tab w:val="left" w:pos="16211"/>
          <w:tab w:val="left" w:pos="17458"/>
          <w:tab w:val="left" w:pos="18705"/>
        </w:tabs>
        <w:rPr>
          <w:b/>
        </w:rPr>
      </w:pPr>
    </w:p>
    <w:p w:rsidR="005A2C84" w:rsidRDefault="005A2C84">
      <w:pPr>
        <w:tabs>
          <w:tab w:val="left" w:pos="1247"/>
          <w:tab w:val="left" w:pos="2494"/>
          <w:tab w:val="left" w:pos="3741"/>
          <w:tab w:val="left" w:pos="4988"/>
          <w:tab w:val="left" w:pos="6235"/>
          <w:tab w:val="left" w:pos="7482"/>
          <w:tab w:val="left" w:pos="8729"/>
          <w:tab w:val="left" w:pos="9976"/>
          <w:tab w:val="left" w:pos="11223"/>
          <w:tab w:val="left" w:pos="12470"/>
          <w:tab w:val="left" w:pos="13717"/>
          <w:tab w:val="left" w:pos="14964"/>
          <w:tab w:val="left" w:pos="16211"/>
          <w:tab w:val="left" w:pos="17458"/>
        </w:tabs>
        <w:jc w:val="both"/>
      </w:pPr>
    </w:p>
    <w:p w:rsidR="005A2C84" w:rsidRDefault="005A2C84">
      <w:pPr>
        <w:tabs>
          <w:tab w:val="left" w:pos="6237"/>
          <w:tab w:val="right" w:pos="8306"/>
          <w:tab w:val="left" w:pos="8729"/>
          <w:tab w:val="left" w:pos="9976"/>
          <w:tab w:val="left" w:pos="11223"/>
          <w:tab w:val="left" w:pos="12470"/>
          <w:tab w:val="left" w:pos="13717"/>
          <w:tab w:val="left" w:pos="14964"/>
          <w:tab w:val="left" w:pos="16211"/>
          <w:tab w:val="left" w:pos="17458"/>
          <w:tab w:val="left" w:pos="18705"/>
          <w:tab w:val="left" w:pos="19952"/>
          <w:tab w:val="left" w:pos="21199"/>
          <w:tab w:val="left" w:pos="22446"/>
        </w:tabs>
        <w:rPr>
          <w:color w:val="000000"/>
        </w:rPr>
      </w:pPr>
    </w:p>
    <w:p w:rsidR="005A2C84" w:rsidRDefault="001F1E6C">
      <w:pPr>
        <w:tabs>
          <w:tab w:val="left" w:pos="4253"/>
          <w:tab w:val="left" w:pos="6946"/>
          <w:tab w:val="left" w:pos="7482"/>
          <w:tab w:val="left" w:pos="8729"/>
          <w:tab w:val="left" w:pos="9976"/>
          <w:tab w:val="left" w:pos="11223"/>
          <w:tab w:val="left" w:pos="12470"/>
          <w:tab w:val="left" w:pos="13717"/>
          <w:tab w:val="left" w:pos="14964"/>
          <w:tab w:val="left" w:pos="16211"/>
          <w:tab w:val="left" w:pos="17458"/>
          <w:tab w:val="left" w:pos="18705"/>
          <w:tab w:val="left" w:pos="19952"/>
          <w:tab w:val="left" w:pos="21199"/>
        </w:tabs>
        <w:jc w:val="both"/>
      </w:pPr>
      <w:r>
        <w:t>Dire</w:t>
      </w:r>
      <w:r>
        <w:t xml:space="preserve">ktorė                               __________                          Audronė </w:t>
      </w:r>
      <w:proofErr w:type="spellStart"/>
      <w:r>
        <w:t>Šiliauskienė</w:t>
      </w:r>
      <w:proofErr w:type="spellEnd"/>
      <w:r>
        <w:t xml:space="preserve">      </w:t>
      </w:r>
      <w:r w:rsidR="0087691A">
        <w:t>202</w:t>
      </w:r>
      <w:r w:rsidR="005C4517">
        <w:t>1</w:t>
      </w:r>
      <w:r w:rsidR="0087691A">
        <w:t>-01-19</w:t>
      </w:r>
    </w:p>
    <w:p w:rsidR="005A2C84" w:rsidRDefault="001F1E6C">
      <w:pPr>
        <w:tabs>
          <w:tab w:val="left" w:pos="4253"/>
          <w:tab w:val="left" w:pos="6946"/>
          <w:tab w:val="left" w:pos="7482"/>
          <w:tab w:val="left" w:pos="8729"/>
          <w:tab w:val="left" w:pos="9976"/>
          <w:tab w:val="left" w:pos="11223"/>
          <w:tab w:val="left" w:pos="12470"/>
          <w:tab w:val="left" w:pos="13717"/>
          <w:tab w:val="left" w:pos="14964"/>
          <w:tab w:val="left" w:pos="16211"/>
          <w:tab w:val="left" w:pos="17458"/>
          <w:tab w:val="left" w:pos="18705"/>
          <w:tab w:val="left" w:pos="19952"/>
          <w:tab w:val="left" w:pos="21199"/>
        </w:tabs>
        <w:jc w:val="both"/>
        <w:rPr>
          <w:sz w:val="20"/>
        </w:rPr>
      </w:pPr>
      <w:r>
        <w:rPr>
          <w:sz w:val="20"/>
        </w:rPr>
        <w:t xml:space="preserve">                                                            (parašas)                                                                              </w:t>
      </w:r>
      <w:r>
        <w:rPr>
          <w:sz w:val="20"/>
        </w:rPr>
        <w:t xml:space="preserve">             (data)</w:t>
      </w:r>
    </w:p>
    <w:p w:rsidR="005A2C84" w:rsidRDefault="005A2C84">
      <w:pPr>
        <w:tabs>
          <w:tab w:val="left" w:pos="4253"/>
          <w:tab w:val="left" w:pos="6946"/>
          <w:tab w:val="left" w:pos="7482"/>
          <w:tab w:val="left" w:pos="8729"/>
          <w:tab w:val="left" w:pos="9976"/>
          <w:tab w:val="left" w:pos="11223"/>
          <w:tab w:val="left" w:pos="12470"/>
          <w:tab w:val="left" w:pos="13717"/>
          <w:tab w:val="left" w:pos="14964"/>
          <w:tab w:val="left" w:pos="16211"/>
          <w:tab w:val="left" w:pos="17458"/>
          <w:tab w:val="left" w:pos="18705"/>
          <w:tab w:val="left" w:pos="19952"/>
          <w:tab w:val="left" w:pos="21199"/>
        </w:tabs>
        <w:jc w:val="both"/>
        <w:rPr>
          <w:sz w:val="20"/>
        </w:rPr>
      </w:pPr>
    </w:p>
    <w:sectPr w:rsidR="005A2C84" w:rsidSect="005A2C84">
      <w:headerReference w:type="default" r:id="rId7"/>
      <w:footerReference w:type="default" r:id="rId8"/>
      <w:headerReference w:type="first" r:id="rId9"/>
      <w:footerReference w:type="first" r:id="rId10"/>
      <w:pgSz w:w="11907" w:h="16840"/>
      <w:pgMar w:top="1138" w:right="562" w:bottom="1238" w:left="1699" w:header="288" w:footer="720"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6C" w:rsidRDefault="001F1E6C" w:rsidP="005A2C84">
      <w:r>
        <w:separator/>
      </w:r>
    </w:p>
  </w:endnote>
  <w:endnote w:type="continuationSeparator" w:id="0">
    <w:p w:rsidR="001F1E6C" w:rsidRDefault="001F1E6C" w:rsidP="005A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84" w:rsidRDefault="005A2C84">
    <w:pPr>
      <w:tabs>
        <w:tab w:val="center" w:pos="4153"/>
        <w:tab w:val="right" w:pos="8306"/>
        <w:tab w:val="left" w:pos="8729"/>
        <w:tab w:val="left" w:pos="9285"/>
        <w:tab w:val="left" w:pos="9285"/>
        <w:tab w:val="left" w:pos="12470"/>
        <w:tab w:val="left" w:pos="13717"/>
        <w:tab w:val="left" w:pos="14964"/>
        <w:tab w:val="left" w:pos="16211"/>
        <w:tab w:val="left" w:pos="17458"/>
        <w:tab w:val="left" w:pos="18705"/>
        <w:tab w:val="left" w:pos="19952"/>
        <w:tab w:val="left" w:pos="21199"/>
        <w:tab w:val="left" w:pos="22446"/>
      </w:tabs>
      <w:ind w:right="360"/>
      <w:rPr>
        <w:rFonts w:ascii="Arial" w:eastAsia="Arial" w:hAnsi="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84" w:rsidRDefault="005A2C84">
    <w:pPr>
      <w:tabs>
        <w:tab w:val="center" w:pos="4153"/>
        <w:tab w:val="right" w:pos="8306"/>
        <w:tab w:val="left" w:pos="8729"/>
        <w:tab w:val="left" w:pos="9645"/>
        <w:tab w:val="left" w:pos="9645"/>
        <w:tab w:val="left" w:pos="12470"/>
        <w:tab w:val="left" w:pos="13717"/>
        <w:tab w:val="left" w:pos="14964"/>
        <w:tab w:val="left" w:pos="16211"/>
        <w:tab w:val="left" w:pos="17458"/>
        <w:tab w:val="left" w:pos="18705"/>
        <w:tab w:val="left" w:pos="19952"/>
        <w:tab w:val="left" w:pos="21199"/>
        <w:tab w:val="left" w:pos="22446"/>
      </w:tabs>
      <w:rPr>
        <w:rFonts w:ascii="Arial" w:eastAsia="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6C" w:rsidRDefault="001F1E6C" w:rsidP="005A2C84">
      <w:r>
        <w:separator/>
      </w:r>
    </w:p>
  </w:footnote>
  <w:footnote w:type="continuationSeparator" w:id="0">
    <w:p w:rsidR="001F1E6C" w:rsidRDefault="001F1E6C" w:rsidP="005A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84" w:rsidRDefault="005A2C84">
    <w:pPr>
      <w:tabs>
        <w:tab w:val="center" w:pos="4680"/>
        <w:tab w:val="right" w:pos="9360"/>
        <w:tab w:val="left" w:pos="9645"/>
        <w:tab w:val="left" w:pos="9645"/>
        <w:tab w:val="left" w:pos="12470"/>
        <w:tab w:val="left" w:pos="13717"/>
        <w:tab w:val="left" w:pos="14964"/>
        <w:tab w:val="left" w:pos="16211"/>
        <w:tab w:val="left" w:pos="17458"/>
        <w:tab w:val="left" w:pos="18705"/>
        <w:tab w:val="left" w:pos="19952"/>
        <w:tab w:val="left" w:pos="21199"/>
        <w:tab w:val="left" w:pos="22446"/>
        <w:tab w:val="left" w:pos="23693"/>
      </w:tabs>
      <w:jc w:val="center"/>
      <w:rPr>
        <w:sz w:val="22"/>
      </w:rPr>
    </w:pPr>
    <w:r>
      <w:rPr>
        <w:sz w:val="22"/>
      </w:rPr>
      <w:fldChar w:fldCharType="begin"/>
    </w:r>
    <w:r w:rsidR="001F1E6C">
      <w:rPr>
        <w:sz w:val="22"/>
      </w:rPr>
      <w:instrText xml:space="preserve">  PAGE \* Arabic \* MERGEFORMAT </w:instrText>
    </w:r>
    <w:r>
      <w:rPr>
        <w:sz w:val="22"/>
      </w:rPr>
      <w:fldChar w:fldCharType="separate"/>
    </w:r>
    <w:r w:rsidR="005C4517">
      <w:rPr>
        <w:noProof/>
        <w:sz w:val="22"/>
      </w:rPr>
      <w:t>8</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84" w:rsidRDefault="005A2C84">
    <w:pPr>
      <w:tabs>
        <w:tab w:val="center" w:pos="4680"/>
        <w:tab w:val="right" w:pos="9360"/>
        <w:tab w:val="left" w:pos="9645"/>
        <w:tab w:val="left" w:pos="9645"/>
        <w:tab w:val="left" w:pos="12470"/>
        <w:tab w:val="left" w:pos="13717"/>
        <w:tab w:val="left" w:pos="14964"/>
        <w:tab w:val="left" w:pos="16211"/>
        <w:tab w:val="left" w:pos="17458"/>
        <w:tab w:val="left" w:pos="18705"/>
        <w:tab w:val="left" w:pos="19952"/>
        <w:tab w:val="left" w:pos="21199"/>
        <w:tab w:val="left" w:pos="22446"/>
        <w:tab w:val="left" w:pos="23693"/>
      </w:tabs>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10BD6"/>
    <w:multiLevelType w:val="singleLevel"/>
    <w:tmpl w:val="7040B3F2"/>
    <w:lvl w:ilvl="0">
      <w:start w:val="1"/>
      <w:numFmt w:val="decimal"/>
      <w:lvlText w:val="%1."/>
      <w:lvlJc w:val="left"/>
      <w:pPr>
        <w:ind w:left="59" w:firstLine="0"/>
      </w:pPr>
      <w:rPr>
        <w:rFonts w:ascii="Times New Roman" w:eastAsia="Times New Roman" w:hAnsi="Times New Roman" w:hint="default"/>
        <w:b w:val="0"/>
        <w:i w:val="0"/>
        <w:strike w:val="0"/>
        <w:color w:val="auto"/>
        <w:position w:val="0"/>
        <w:sz w:val="24"/>
        <w:u w:val="none"/>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396"/>
  <w:characterSpacingControl w:val="doNotCompress"/>
  <w:footnotePr>
    <w:footnote w:id="-1"/>
    <w:footnote w:id="0"/>
  </w:footnotePr>
  <w:endnotePr>
    <w:endnote w:id="-1"/>
    <w:endnote w:id="0"/>
  </w:endnotePr>
  <w:compat>
    <w:noExtraLineSpacing/>
  </w:compat>
  <w:rsids>
    <w:rsidRoot w:val="005A2C84"/>
    <w:rsid w:val="001F1E6C"/>
    <w:rsid w:val="005A2C84"/>
    <w:rsid w:val="005C4517"/>
    <w:rsid w:val="00680E50"/>
    <w:rsid w:val="008769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lt-LT" w:eastAsia="lt-LT"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5A2C84"/>
    <w:pPr>
      <w:spacing w:after="0" w:line="240" w:lineRule="auto"/>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5A2C8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ListParagraph">
    <w:name w:val="List Paragraph"/>
    <w:basedOn w:val="Normal"/>
    <w:qFormat/>
    <w:rsid w:val="005A2C84"/>
    <w:pPr>
      <w:ind w:left="720"/>
    </w:pPr>
  </w:style>
  <w:style w:type="paragraph" w:styleId="Header">
    <w:name w:val="header"/>
    <w:basedOn w:val="Normal"/>
    <w:qFormat/>
    <w:rsid w:val="005A2C84"/>
    <w:pPr>
      <w:tabs>
        <w:tab w:val="center" w:pos="4680"/>
        <w:tab w:val="right" w:pos="9360"/>
      </w:tabs>
    </w:pPr>
    <w:rPr>
      <w:rFonts w:ascii="Calibri" w:eastAsia="Calibri" w:hAnsi="Calibri"/>
      <w:sz w:val="22"/>
    </w:rPr>
  </w:style>
  <w:style w:type="paragraph" w:styleId="BalloonText">
    <w:name w:val="Balloon Text"/>
    <w:basedOn w:val="Normal"/>
    <w:qFormat/>
    <w:rsid w:val="005A2C84"/>
    <w:rPr>
      <w:rFonts w:ascii="Tahoma" w:eastAsia="Tahoma" w:hAnsi="Tahoma"/>
      <w:sz w:val="16"/>
    </w:rPr>
  </w:style>
  <w:style w:type="character" w:styleId="PlaceholderText">
    <w:name w:val="Placeholder Text"/>
    <w:qFormat/>
    <w:rsid w:val="005A2C84"/>
    <w:rPr>
      <w:color w:val="808080"/>
    </w:rPr>
  </w:style>
  <w:style w:type="character" w:customStyle="1" w:styleId="AntratsDiagrama">
    <w:name w:val="Antraštės Diagrama"/>
    <w:qFormat/>
    <w:rsid w:val="005A2C84"/>
    <w:rPr>
      <w:rFonts w:ascii="Calibri" w:eastAsia="Calibri" w:hAnsi="Calibri"/>
      <w:sz w:val="22"/>
    </w:rPr>
  </w:style>
  <w:style w:type="character" w:customStyle="1" w:styleId="DebesliotekstasDiagrama">
    <w:name w:val="Debesėlio tekstas Diagrama"/>
    <w:qFormat/>
    <w:rsid w:val="005A2C84"/>
    <w:rPr>
      <w:rFonts w:ascii="Tahoma" w:eastAsia="Tahoma" w:hAnsi="Tahoma"/>
      <w:sz w:val="16"/>
    </w:rPr>
  </w:style>
  <w:style w:type="character" w:styleId="Hyperlink">
    <w:name w:val="Hyperlink"/>
    <w:qFormat/>
    <w:rsid w:val="005A2C84"/>
    <w:rPr>
      <w:color w:val="0563C1"/>
      <w:u w:val="single"/>
    </w:rPr>
  </w:style>
  <w:style w:type="paragraph" w:customStyle="1" w:styleId="Default">
    <w:name w:val="Default"/>
    <w:basedOn w:val="Normal0"/>
    <w:qFormat/>
    <w:rsid w:val="005A2C8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13170</Words>
  <Characters>7507</Characters>
  <Application>Microsoft Office Word</Application>
  <DocSecurity>0</DocSecurity>
  <Lines>62</Lines>
  <Paragraphs>41</Paragraphs>
  <ScaleCrop>false</ScaleCrop>
  <Company>*</Company>
  <LinksUpToDate>false</LinksUpToDate>
  <CharactersWithSpaces>20636</CharactersWithSpaces>
  <SharedDoc>false</SharedDoc>
  <HyperlinkBase>C:\Documents and Settings\Buhaltere\My Documents\Downloads\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p:lastModifiedBy>
  <cp:revision>4</cp:revision>
  <dcterms:created xsi:type="dcterms:W3CDTF">2021-02-09T14:03:00Z</dcterms:created>
  <dcterms:modified xsi:type="dcterms:W3CDTF">2021-02-09T14:06:00Z</dcterms:modified>
</cp:coreProperties>
</file>